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3F" w:rsidRPr="00C9603F" w:rsidRDefault="00C9603F" w:rsidP="00E12EFB">
      <w:pPr>
        <w:shd w:val="clear" w:color="auto" w:fill="FFFFFF"/>
        <w:spacing w:before="150" w:after="0" w:line="240" w:lineRule="auto"/>
        <w:jc w:val="center"/>
        <w:outlineLvl w:val="3"/>
        <w:rPr>
          <w:rFonts w:ascii="Arial" w:eastAsia="Times New Roman" w:hAnsi="Arial" w:cs="Arial"/>
          <w:b/>
          <w:bCs/>
          <w:color w:val="373737"/>
          <w:sz w:val="24"/>
          <w:szCs w:val="24"/>
          <w:lang w:eastAsia="ru-RU"/>
        </w:rPr>
      </w:pPr>
      <w:r w:rsidRPr="00C9603F">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b/>
          <w:bCs/>
          <w:color w:val="373737"/>
          <w:sz w:val="21"/>
          <w:szCs w:val="21"/>
          <w:lang w:eastAsia="ru-RU"/>
        </w:rPr>
        <w:t>I. Общие положения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1.2. Стандарт разработан на основе Конституции Российской Федерации</w:t>
      </w:r>
      <w:r w:rsidRPr="00C9603F">
        <w:rPr>
          <w:rFonts w:ascii="Arial" w:eastAsia="Times New Roman" w:hAnsi="Arial" w:cs="Arial"/>
          <w:color w:val="373737"/>
          <w:sz w:val="21"/>
          <w:szCs w:val="21"/>
          <w:vertAlign w:val="superscript"/>
          <w:lang w:eastAsia="ru-RU"/>
        </w:rPr>
        <w:t>1</w:t>
      </w:r>
      <w:r w:rsidRPr="00C9603F">
        <w:rPr>
          <w:rFonts w:ascii="Arial" w:eastAsia="Times New Roman" w:hAnsi="Arial" w:cs="Arial"/>
          <w:color w:val="373737"/>
          <w:sz w:val="21"/>
          <w:szCs w:val="21"/>
          <w:lang w:eastAsia="ru-RU"/>
        </w:rPr>
        <w:t> и законодательства Российской Федерации и с учетом Конвенции ООН о правах ребенка</w:t>
      </w:r>
      <w:r w:rsidRPr="00C9603F">
        <w:rPr>
          <w:rFonts w:ascii="Arial" w:eastAsia="Times New Roman" w:hAnsi="Arial" w:cs="Arial"/>
          <w:color w:val="373737"/>
          <w:sz w:val="21"/>
          <w:szCs w:val="21"/>
          <w:vertAlign w:val="superscript"/>
          <w:lang w:eastAsia="ru-RU"/>
        </w:rPr>
        <w:t>2</w:t>
      </w:r>
      <w:r w:rsidRPr="00C9603F">
        <w:rPr>
          <w:rFonts w:ascii="Arial" w:eastAsia="Times New Roman" w:hAnsi="Arial" w:cs="Arial"/>
          <w:color w:val="373737"/>
          <w:sz w:val="21"/>
          <w:szCs w:val="21"/>
          <w:lang w:eastAsia="ru-RU"/>
        </w:rPr>
        <w:t>, в основе которых заложены следующие основные принципы: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C9603F">
        <w:rPr>
          <w:rFonts w:ascii="Arial" w:eastAsia="Times New Roman" w:hAnsi="Arial" w:cs="Arial"/>
          <w:color w:val="373737"/>
          <w:sz w:val="21"/>
          <w:szCs w:val="21"/>
          <w:lang w:eastAsia="ru-RU"/>
        </w:rPr>
        <w:t>самоценности</w:t>
      </w:r>
      <w:proofErr w:type="spellEnd"/>
      <w:r w:rsidRPr="00C9603F">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C9603F">
        <w:rPr>
          <w:rFonts w:ascii="Arial" w:eastAsia="Times New Roman" w:hAnsi="Arial" w:cs="Arial"/>
          <w:color w:val="373737"/>
          <w:sz w:val="21"/>
          <w:szCs w:val="21"/>
          <w:lang w:eastAsia="ru-RU"/>
        </w:rPr>
        <w:t>самоценность</w:t>
      </w:r>
      <w:proofErr w:type="spellEnd"/>
      <w:r w:rsidRPr="00C9603F">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уважение личности ребенка;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1.3. В Стандарте учитываются: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1.4. Основные принципы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4) поддержка инициативы детей в различных видах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сотрудничество Организации с семьей;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9) учет этнокультурной ситуации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1.5. Стандарт направлен на достижение следующих целей: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повышение социального статуса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1.6. Стандарт направлен на решение следующих задач:</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1.7. Стандарт является основой для: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разработки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1.8. Стандарт включает в себя требования к:</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структуре Программы и ее объему;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условиям реализации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результатам освоения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2.4. Программа направлена на: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9603F">
        <w:rPr>
          <w:rFonts w:ascii="Arial" w:eastAsia="Times New Roman" w:hAnsi="Arial" w:cs="Arial"/>
          <w:color w:val="373737"/>
          <w:sz w:val="21"/>
          <w:szCs w:val="21"/>
          <w:lang w:eastAsia="ru-RU"/>
        </w:rPr>
        <w:t>со</w:t>
      </w:r>
      <w:proofErr w:type="gramEnd"/>
      <w:r w:rsidRPr="00C9603F">
        <w:rPr>
          <w:rFonts w:ascii="Arial" w:eastAsia="Times New Roman" w:hAnsi="Arial" w:cs="Arial"/>
          <w:color w:val="373737"/>
          <w:sz w:val="21"/>
          <w:szCs w:val="21"/>
          <w:lang w:eastAsia="ru-RU"/>
        </w:rPr>
        <w:t xml:space="preserve"> взрослыми и сверстниками и соответствующим возрасту видам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C9603F">
        <w:rPr>
          <w:rFonts w:ascii="Arial" w:eastAsia="Times New Roman" w:hAnsi="Arial" w:cs="Arial"/>
          <w:color w:val="373737"/>
          <w:sz w:val="21"/>
          <w:szCs w:val="21"/>
          <w:vertAlign w:val="superscript"/>
          <w:lang w:eastAsia="ru-RU"/>
        </w:rPr>
        <w:t>3</w:t>
      </w:r>
      <w:r w:rsidRPr="00C9603F">
        <w:rPr>
          <w:rFonts w:ascii="Arial" w:eastAsia="Times New Roman" w:hAnsi="Arial" w:cs="Arial"/>
          <w:color w:val="373737"/>
          <w:sz w:val="21"/>
          <w:szCs w:val="21"/>
          <w:lang w:eastAsia="ru-RU"/>
        </w:rPr>
        <w:t>.</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Программа может реализовываться в течение всего времени пребывания</w:t>
      </w:r>
      <w:r w:rsidRPr="00C9603F">
        <w:rPr>
          <w:rFonts w:ascii="Arial" w:eastAsia="Times New Roman" w:hAnsi="Arial" w:cs="Arial"/>
          <w:color w:val="373737"/>
          <w:sz w:val="21"/>
          <w:szCs w:val="21"/>
          <w:vertAlign w:val="superscript"/>
          <w:lang w:eastAsia="ru-RU"/>
        </w:rPr>
        <w:t>4</w:t>
      </w:r>
      <w:r w:rsidRPr="00C9603F">
        <w:rPr>
          <w:rFonts w:ascii="Arial" w:eastAsia="Times New Roman" w:hAnsi="Arial" w:cs="Arial"/>
          <w:color w:val="373737"/>
          <w:sz w:val="21"/>
          <w:szCs w:val="21"/>
          <w:lang w:eastAsia="ru-RU"/>
        </w:rPr>
        <w:t> детей в Организации.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социально-коммуникативное развитие;</w:t>
      </w:r>
    </w:p>
    <w:p w:rsidR="00A02A8D"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 xml:space="preserve">познавательное развитие; </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bookmarkStart w:id="0" w:name="_GoBack"/>
      <w:bookmarkEnd w:id="0"/>
      <w:r w:rsidRPr="00DD30EB">
        <w:rPr>
          <w:rFonts w:ascii="Arial" w:eastAsia="Times New Roman" w:hAnsi="Arial" w:cs="Arial"/>
          <w:color w:val="373737"/>
          <w:sz w:val="21"/>
          <w:szCs w:val="21"/>
          <w:lang w:eastAsia="ru-RU"/>
        </w:rPr>
        <w:t>речевое развитие;</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художественно-эстетическое развитие;</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физическое развитие.</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D30EB">
        <w:rPr>
          <w:rFonts w:ascii="Arial" w:eastAsia="Times New Roman" w:hAnsi="Arial" w:cs="Arial"/>
          <w:color w:val="373737"/>
          <w:sz w:val="21"/>
          <w:szCs w:val="21"/>
          <w:lang w:eastAsia="ru-RU"/>
        </w:rPr>
        <w:t>саморегуляции</w:t>
      </w:r>
      <w:proofErr w:type="spellEnd"/>
      <w:r w:rsidRPr="00DD30EB">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w:t>
      </w:r>
      <w:r w:rsidRPr="00DD30EB">
        <w:rPr>
          <w:rFonts w:ascii="Arial" w:eastAsia="Times New Roman" w:hAnsi="Arial" w:cs="Arial"/>
          <w:color w:val="373737"/>
          <w:sz w:val="21"/>
          <w:szCs w:val="21"/>
          <w:lang w:eastAsia="ru-RU"/>
        </w:rPr>
        <w:lastRenderedPageBreak/>
        <w:t>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DD30EB">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D30EB">
        <w:rPr>
          <w:rFonts w:ascii="Arial" w:eastAsia="Times New Roman" w:hAnsi="Arial" w:cs="Arial"/>
          <w:color w:val="373737"/>
          <w:sz w:val="21"/>
          <w:szCs w:val="21"/>
          <w:lang w:eastAsia="ru-RU"/>
        </w:rPr>
        <w:t>саморегуляции</w:t>
      </w:r>
      <w:proofErr w:type="spellEnd"/>
      <w:r w:rsidRPr="00DD30EB">
        <w:rPr>
          <w:rFonts w:ascii="Arial" w:eastAsia="Times New Roman" w:hAnsi="Arial" w:cs="Arial"/>
          <w:color w:val="373737"/>
          <w:sz w:val="21"/>
          <w:szCs w:val="21"/>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9603F" w:rsidRPr="00DD30EB"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DD30EB">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DD30EB">
        <w:rPr>
          <w:rFonts w:ascii="Arial" w:eastAsia="Times New Roman" w:hAnsi="Arial" w:cs="Arial"/>
          <w:color w:val="373737"/>
          <w:sz w:val="21"/>
          <w:szCs w:val="21"/>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w:t>
      </w:r>
      <w:r w:rsidRPr="00DD30EB">
        <w:rPr>
          <w:rFonts w:ascii="Arial" w:eastAsia="Times New Roman" w:hAnsi="Arial" w:cs="Arial"/>
          <w:color w:val="373737"/>
          <w:sz w:val="21"/>
          <w:szCs w:val="21"/>
          <w:lang w:eastAsia="ru-RU"/>
        </w:rPr>
        <w:lastRenderedPageBreak/>
        <w:t>музыкальных инструментах) и двигательная (овладение основными движениями) формы активности ребенка.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предметно-пространственная развивающая образовательная среда;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характер взаимодействия со взрослыми;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характер взаимодействия с другими детьми;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система отношений ребенка к миру, к другим людям, к себе самому.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Пояснительная записка должна раскрывать: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цели и задачи реализации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принципы и подходы к формированию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Содержательный раздел Программы должен включать: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9603F">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содержательном разделе Программы должны быть представлены: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б) способы и направления поддержки детской инициативы;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специфику национальных, социокультурных и иных условий, в которых осуществляется образовательная деятельность;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сложившиеся традиции Организации или Группы.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Коррекционная работа и/или инклюзивное образование должны быть направлены на: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краткой презентации Программы должны быть указаны: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используемые Примерные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обеспечивает эмоциональное благополучие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обеспечивает открытость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7) защита детей от всех форм физического и психического насилия</w:t>
      </w:r>
      <w:r w:rsidRPr="00C9603F">
        <w:rPr>
          <w:rFonts w:ascii="Arial" w:eastAsia="Times New Roman" w:hAnsi="Arial" w:cs="Arial"/>
          <w:color w:val="373737"/>
          <w:sz w:val="21"/>
          <w:szCs w:val="21"/>
          <w:vertAlign w:val="superscript"/>
          <w:lang w:eastAsia="ru-RU"/>
        </w:rPr>
        <w:t>5</w:t>
      </w:r>
      <w:r w:rsidRPr="00C9603F">
        <w:rPr>
          <w:rFonts w:ascii="Arial" w:eastAsia="Times New Roman" w:hAnsi="Arial" w:cs="Arial"/>
          <w:color w:val="373737"/>
          <w:sz w:val="21"/>
          <w:szCs w:val="21"/>
          <w:lang w:eastAsia="ru-RU"/>
        </w:rPr>
        <w:t>;</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w:t>
      </w:r>
      <w:r w:rsidRPr="00C9603F">
        <w:rPr>
          <w:rFonts w:ascii="Arial" w:eastAsia="Times New Roman" w:hAnsi="Arial" w:cs="Arial"/>
          <w:color w:val="373737"/>
          <w:sz w:val="21"/>
          <w:szCs w:val="21"/>
          <w:lang w:eastAsia="ru-RU"/>
        </w:rPr>
        <w:lastRenderedPageBreak/>
        <w:t>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оптимизации работы с группой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обеспечение эмоционального благополучия через:</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непосредственное общение с каждым ребенком;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поддержку индивидуальности и инициативы детей через:</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spellStart"/>
      <w:r w:rsidRPr="00C9603F">
        <w:rPr>
          <w:rFonts w:ascii="Arial" w:eastAsia="Times New Roman" w:hAnsi="Arial" w:cs="Arial"/>
          <w:color w:val="373737"/>
          <w:sz w:val="21"/>
          <w:szCs w:val="21"/>
          <w:lang w:eastAsia="ru-RU"/>
        </w:rPr>
        <w:t>недирективную</w:t>
      </w:r>
      <w:proofErr w:type="spellEnd"/>
      <w:r w:rsidRPr="00C9603F">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установление правил взаимодействия в разных ситуациях:</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развитие коммуникативных способностей детей, позволяющих разрешать конфликтные ситуации со сверстниками;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развитие умения детей работать в группе сверстников;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w:t>
      </w:r>
      <w:r w:rsidRPr="00C9603F">
        <w:rPr>
          <w:rFonts w:ascii="Arial" w:eastAsia="Times New Roman" w:hAnsi="Arial" w:cs="Arial"/>
          <w:color w:val="373737"/>
          <w:sz w:val="21"/>
          <w:szCs w:val="21"/>
          <w:lang w:eastAsia="ru-RU"/>
        </w:rPr>
        <w:lastRenderedPageBreak/>
        <w:t>не актуализирующийся в его индивидуальной деятельности (далее - зона ближайшего развития каждого ребенка), через:</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оценку индивидуального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3.2.6. В целях эффективной реализации Программы должны быть созданы условия для: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3.2.8. Организация должна создавать возможности: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3.3.Требования к развивающей предметно-пространственной среде.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реализацию различных образовательных программ;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возможность самовыражения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2) </w:t>
      </w:r>
      <w:proofErr w:type="spellStart"/>
      <w:r w:rsidRPr="00C9603F">
        <w:rPr>
          <w:rFonts w:ascii="Arial" w:eastAsia="Times New Roman" w:hAnsi="Arial" w:cs="Arial"/>
          <w:color w:val="373737"/>
          <w:sz w:val="21"/>
          <w:szCs w:val="21"/>
          <w:lang w:eastAsia="ru-RU"/>
        </w:rPr>
        <w:t>Трансформируемость</w:t>
      </w:r>
      <w:proofErr w:type="spellEnd"/>
      <w:r w:rsidRPr="00C9603F">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3) </w:t>
      </w:r>
      <w:proofErr w:type="spellStart"/>
      <w:r w:rsidRPr="00C9603F">
        <w:rPr>
          <w:rFonts w:ascii="Arial" w:eastAsia="Times New Roman" w:hAnsi="Arial" w:cs="Arial"/>
          <w:color w:val="373737"/>
          <w:sz w:val="21"/>
          <w:szCs w:val="21"/>
          <w:lang w:eastAsia="ru-RU"/>
        </w:rPr>
        <w:t>Полифункциональность</w:t>
      </w:r>
      <w:proofErr w:type="spellEnd"/>
      <w:r w:rsidRPr="00C9603F">
        <w:rPr>
          <w:rFonts w:ascii="Arial" w:eastAsia="Times New Roman" w:hAnsi="Arial" w:cs="Arial"/>
          <w:color w:val="373737"/>
          <w:sz w:val="21"/>
          <w:szCs w:val="21"/>
          <w:lang w:eastAsia="ru-RU"/>
        </w:rPr>
        <w:t xml:space="preserve"> материалов предполагает: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возможность разнообразного использования различных составляющих предметной среды, например, детской мебели, матов, мягких модулей, ширм и т.д.;</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Вариативность среды предполагает: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Доступность среды предполагает: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исправность и сохранность материалов и оборудования.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3.4. Требования к кадровым условиям реализации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3.4.4. При организации инклюзивного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9603F">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C9603F">
        <w:rPr>
          <w:rFonts w:ascii="Arial" w:eastAsia="Times New Roman" w:hAnsi="Arial" w:cs="Arial"/>
          <w:color w:val="373737"/>
          <w:sz w:val="21"/>
          <w:szCs w:val="21"/>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C9603F">
        <w:rPr>
          <w:rFonts w:ascii="Arial" w:eastAsia="Times New Roman" w:hAnsi="Arial" w:cs="Arial"/>
          <w:color w:val="373737"/>
          <w:sz w:val="21"/>
          <w:szCs w:val="21"/>
          <w:vertAlign w:val="superscript"/>
          <w:lang w:eastAsia="ru-RU"/>
        </w:rPr>
        <w:t>6</w:t>
      </w:r>
      <w:proofErr w:type="gramEnd"/>
      <w:r w:rsidRPr="00C9603F">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3.6.2. Финансовые условия реализации Программы должны: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1) обеспечивать возможность выполнения требований Стандарта к условиям реализации и структуре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9603F">
        <w:rPr>
          <w:rFonts w:ascii="Arial" w:eastAsia="Times New Roman" w:hAnsi="Arial" w:cs="Arial"/>
          <w:color w:val="373737"/>
          <w:sz w:val="21"/>
          <w:szCs w:val="21"/>
          <w:lang w:eastAsia="ru-RU"/>
        </w:rPr>
        <w:t>сурдоперевод</w:t>
      </w:r>
      <w:proofErr w:type="spellEnd"/>
      <w:r w:rsidRPr="00C9603F">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9603F">
        <w:rPr>
          <w:rFonts w:ascii="Arial" w:eastAsia="Times New Roman" w:hAnsi="Arial" w:cs="Arial"/>
          <w:color w:val="373737"/>
          <w:sz w:val="21"/>
          <w:szCs w:val="21"/>
          <w:lang w:eastAsia="ru-RU"/>
        </w:rPr>
        <w:t>безбарьерную</w:t>
      </w:r>
      <w:proofErr w:type="spellEnd"/>
      <w:r w:rsidRPr="00C9603F">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расходов на оплату труда работников, реализующих Программу;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proofErr w:type="gramStart"/>
      <w:r w:rsidRPr="00C9603F">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9603F">
        <w:rPr>
          <w:rFonts w:ascii="Arial" w:eastAsia="Times New Roman" w:hAnsi="Arial" w:cs="Arial"/>
          <w:color w:val="373737"/>
          <w:sz w:val="21"/>
          <w:szCs w:val="21"/>
          <w:lang w:eastAsia="ru-RU"/>
        </w:rPr>
        <w:t xml:space="preserve">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DF269D" w:rsidRDefault="00DF269D" w:rsidP="00C9603F">
      <w:pPr>
        <w:shd w:val="clear" w:color="auto" w:fill="FFFFFF"/>
        <w:spacing w:before="240" w:after="240" w:line="270" w:lineRule="atLeast"/>
        <w:ind w:left="600"/>
        <w:rPr>
          <w:rFonts w:ascii="Arial" w:eastAsia="Times New Roman" w:hAnsi="Arial" w:cs="Arial"/>
          <w:color w:val="373737"/>
          <w:sz w:val="21"/>
          <w:szCs w:val="21"/>
          <w:lang w:eastAsia="ru-RU"/>
        </w:rPr>
      </w:pPr>
    </w:p>
    <w:p w:rsidR="00DF269D" w:rsidRPr="00C9603F" w:rsidRDefault="00DF269D" w:rsidP="00C9603F">
      <w:pPr>
        <w:shd w:val="clear" w:color="auto" w:fill="FFFFFF"/>
        <w:spacing w:before="240" w:after="240" w:line="270" w:lineRule="atLeast"/>
        <w:ind w:left="600"/>
        <w:rPr>
          <w:rFonts w:ascii="Arial" w:eastAsia="Times New Roman" w:hAnsi="Arial" w:cs="Arial"/>
          <w:color w:val="373737"/>
          <w:sz w:val="21"/>
          <w:szCs w:val="21"/>
          <w:lang w:eastAsia="ru-RU"/>
        </w:rPr>
      </w:pP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b/>
          <w:bCs/>
          <w:color w:val="373737"/>
          <w:sz w:val="21"/>
          <w:szCs w:val="21"/>
          <w:lang w:eastAsia="ru-RU"/>
        </w:rPr>
        <w:lastRenderedPageBreak/>
        <w:t>IV. Требования к результатам освоения основной образовательной программы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C9603F">
        <w:rPr>
          <w:rFonts w:ascii="Arial" w:eastAsia="Times New Roman" w:hAnsi="Arial" w:cs="Arial"/>
          <w:color w:val="373737"/>
          <w:sz w:val="21"/>
          <w:szCs w:val="21"/>
          <w:vertAlign w:val="superscript"/>
          <w:lang w:eastAsia="ru-RU"/>
        </w:rPr>
        <w:t>7</w:t>
      </w:r>
      <w:r w:rsidRPr="00C9603F">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C9603F">
        <w:rPr>
          <w:rFonts w:ascii="Arial" w:eastAsia="Times New Roman" w:hAnsi="Arial" w:cs="Arial"/>
          <w:color w:val="373737"/>
          <w:sz w:val="21"/>
          <w:szCs w:val="21"/>
          <w:vertAlign w:val="superscript"/>
          <w:lang w:eastAsia="ru-RU"/>
        </w:rPr>
        <w:t>8</w:t>
      </w:r>
      <w:r w:rsidRPr="00C9603F">
        <w:rPr>
          <w:rFonts w:ascii="Arial" w:eastAsia="Times New Roman" w:hAnsi="Arial" w:cs="Arial"/>
          <w:color w:val="373737"/>
          <w:sz w:val="21"/>
          <w:szCs w:val="21"/>
          <w:lang w:eastAsia="ru-RU"/>
        </w:rPr>
        <w:t>.</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4.4. Настоящие требования являются ориентирами для: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б) решения задач:</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формирования Программы;</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анализа профессиональной деятельности;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взаимодействия с семьями;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аттестацию педагогических кадров;</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оценку качества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lastRenderedPageBreak/>
        <w:t xml:space="preserve">распределение стимулирующего </w:t>
      </w:r>
      <w:proofErr w:type="gramStart"/>
      <w:r w:rsidRPr="00C9603F">
        <w:rPr>
          <w:rFonts w:ascii="Arial" w:eastAsia="Times New Roman" w:hAnsi="Arial" w:cs="Arial"/>
          <w:color w:val="373737"/>
          <w:sz w:val="21"/>
          <w:szCs w:val="21"/>
          <w:lang w:eastAsia="ru-RU"/>
        </w:rPr>
        <w:t>фонда оплаты труда работников Организации</w:t>
      </w:r>
      <w:proofErr w:type="gramEnd"/>
      <w:r w:rsidRPr="00C9603F">
        <w:rPr>
          <w:rFonts w:ascii="Arial" w:eastAsia="Times New Roman" w:hAnsi="Arial" w:cs="Arial"/>
          <w:color w:val="373737"/>
          <w:sz w:val="21"/>
          <w:szCs w:val="21"/>
          <w:lang w:eastAsia="ru-RU"/>
        </w:rPr>
        <w:t>.</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Целевые ориентиры образования в младенческом и раннем возрасте:</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 xml:space="preserve">стремится к общению </w:t>
      </w:r>
      <w:proofErr w:type="gramStart"/>
      <w:r w:rsidRPr="00A6149D">
        <w:rPr>
          <w:rFonts w:ascii="Arial" w:eastAsia="Times New Roman" w:hAnsi="Arial" w:cs="Arial"/>
          <w:color w:val="373737"/>
          <w:sz w:val="21"/>
          <w:szCs w:val="21"/>
          <w:highlight w:val="yellow"/>
          <w:lang w:eastAsia="ru-RU"/>
        </w:rPr>
        <w:t>со</w:t>
      </w:r>
      <w:proofErr w:type="gramEnd"/>
      <w:r w:rsidRPr="00A6149D">
        <w:rPr>
          <w:rFonts w:ascii="Arial" w:eastAsia="Times New Roman" w:hAnsi="Arial" w:cs="Arial"/>
          <w:color w:val="373737"/>
          <w:sz w:val="21"/>
          <w:szCs w:val="21"/>
          <w:highlight w:val="yellow"/>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проявляет интерес к сверстникам; наблюдает за их действиями и подражает им;</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у ребенка развита крупная моторика, он стремится осваивать различные виды движения (бег, лазанье, перешагивание и пр.).</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Целевые ориентиры на этапе завершения дошкольного образования:</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6149D">
        <w:rPr>
          <w:rFonts w:ascii="Arial" w:eastAsia="Times New Roman" w:hAnsi="Arial" w:cs="Arial"/>
          <w:color w:val="373737"/>
          <w:sz w:val="21"/>
          <w:szCs w:val="21"/>
          <w:highlight w:val="yellow"/>
          <w:lang w:eastAsia="ru-RU"/>
        </w:rPr>
        <w:t>со</w:t>
      </w:r>
      <w:proofErr w:type="gramEnd"/>
      <w:r w:rsidRPr="00A6149D">
        <w:rPr>
          <w:rFonts w:ascii="Arial" w:eastAsia="Times New Roman" w:hAnsi="Arial" w:cs="Arial"/>
          <w:color w:val="373737"/>
          <w:sz w:val="21"/>
          <w:szCs w:val="21"/>
          <w:highlight w:val="yellow"/>
          <w:lang w:eastAsia="ru-RU"/>
        </w:rPr>
        <w:t xml:space="preserve"> взрослыми и сверстниками, может соблюдать правила безопасного поведения и личной гигиены;</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9603F" w:rsidRPr="00A6149D" w:rsidRDefault="00C9603F" w:rsidP="00C9603F">
      <w:pPr>
        <w:shd w:val="clear" w:color="auto" w:fill="FFFFFF"/>
        <w:spacing w:before="240" w:after="240" w:line="270" w:lineRule="atLeast"/>
        <w:ind w:left="600"/>
        <w:rPr>
          <w:rFonts w:ascii="Arial" w:eastAsia="Times New Roman" w:hAnsi="Arial" w:cs="Arial"/>
          <w:color w:val="373737"/>
          <w:sz w:val="21"/>
          <w:szCs w:val="21"/>
          <w:highlight w:val="yellow"/>
          <w:lang w:eastAsia="ru-RU"/>
        </w:rPr>
      </w:pPr>
      <w:r w:rsidRPr="00A6149D">
        <w:rPr>
          <w:rFonts w:ascii="Arial" w:eastAsia="Times New Roman" w:hAnsi="Arial" w:cs="Arial"/>
          <w:color w:val="373737"/>
          <w:sz w:val="21"/>
          <w:szCs w:val="21"/>
          <w:highlight w:val="yellow"/>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A6149D">
        <w:rPr>
          <w:rFonts w:ascii="Arial" w:eastAsia="Times New Roman" w:hAnsi="Arial" w:cs="Arial"/>
          <w:color w:val="373737"/>
          <w:sz w:val="21"/>
          <w:szCs w:val="21"/>
          <w:highlight w:val="yellow"/>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1</w:t>
      </w:r>
      <w:r w:rsidRPr="00C9603F">
        <w:rPr>
          <w:rFonts w:ascii="Arial" w:eastAsia="Times New Roman" w:hAnsi="Arial" w:cs="Arial"/>
          <w:i/>
          <w:iCs/>
          <w:color w:val="373737"/>
          <w:sz w:val="21"/>
          <w:szCs w:val="21"/>
          <w:lang w:eastAsia="ru-RU"/>
        </w:rPr>
        <w:t> Российская газета, 25 декабря 1993 г.; Собрание законодательства Российской Федерации, 2009, N 1, ст. 1, ст. 2.</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2</w:t>
      </w:r>
      <w:r w:rsidRPr="00C9603F">
        <w:rPr>
          <w:rFonts w:ascii="Arial" w:eastAsia="Times New Roman" w:hAnsi="Arial" w:cs="Arial"/>
          <w:i/>
          <w:iCs/>
          <w:color w:val="373737"/>
          <w:sz w:val="21"/>
          <w:szCs w:val="21"/>
          <w:lang w:eastAsia="ru-RU"/>
        </w:rPr>
        <w:t> Сборник международных договоров СССР, 1993, выпуск XLVI.</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3</w:t>
      </w:r>
      <w:r w:rsidRPr="00C9603F">
        <w:rPr>
          <w:rFonts w:ascii="Arial" w:eastAsia="Times New Roman" w:hAnsi="Arial" w:cs="Arial"/>
          <w:i/>
          <w:iCs/>
          <w:color w:val="373737"/>
          <w:sz w:val="21"/>
          <w:szCs w:val="21"/>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4</w:t>
      </w:r>
      <w:r w:rsidRPr="00C9603F">
        <w:rPr>
          <w:rFonts w:ascii="Arial" w:eastAsia="Times New Roman" w:hAnsi="Arial" w:cs="Arial"/>
          <w:i/>
          <w:iCs/>
          <w:color w:val="373737"/>
          <w:sz w:val="21"/>
          <w:szCs w:val="21"/>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5</w:t>
      </w:r>
      <w:r w:rsidRPr="00C9603F">
        <w:rPr>
          <w:rFonts w:ascii="Arial" w:eastAsia="Times New Roman" w:hAnsi="Arial" w:cs="Arial"/>
          <w:i/>
          <w:iCs/>
          <w:color w:val="373737"/>
          <w:sz w:val="21"/>
          <w:szCs w:val="21"/>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6</w:t>
      </w:r>
      <w:r w:rsidRPr="00C9603F">
        <w:rPr>
          <w:rFonts w:ascii="Arial" w:eastAsia="Times New Roman" w:hAnsi="Arial" w:cs="Arial"/>
          <w:i/>
          <w:iCs/>
          <w:color w:val="373737"/>
          <w:sz w:val="21"/>
          <w:szCs w:val="21"/>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7</w:t>
      </w:r>
      <w:r w:rsidRPr="00C9603F">
        <w:rPr>
          <w:rFonts w:ascii="Arial" w:eastAsia="Times New Roman" w:hAnsi="Arial" w:cs="Arial"/>
          <w:i/>
          <w:iCs/>
          <w:color w:val="373737"/>
          <w:sz w:val="21"/>
          <w:szCs w:val="21"/>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9603F" w:rsidRPr="00C9603F" w:rsidRDefault="00C9603F" w:rsidP="00C9603F">
      <w:pPr>
        <w:shd w:val="clear" w:color="auto" w:fill="FFFFFF"/>
        <w:spacing w:before="240" w:after="240" w:line="270" w:lineRule="atLeast"/>
        <w:ind w:left="600"/>
        <w:rPr>
          <w:rFonts w:ascii="Arial" w:eastAsia="Times New Roman" w:hAnsi="Arial" w:cs="Arial"/>
          <w:color w:val="373737"/>
          <w:sz w:val="21"/>
          <w:szCs w:val="21"/>
          <w:lang w:eastAsia="ru-RU"/>
        </w:rPr>
      </w:pPr>
      <w:r w:rsidRPr="00C9603F">
        <w:rPr>
          <w:rFonts w:ascii="Arial" w:eastAsia="Times New Roman" w:hAnsi="Arial" w:cs="Arial"/>
          <w:i/>
          <w:iCs/>
          <w:color w:val="373737"/>
          <w:sz w:val="21"/>
          <w:szCs w:val="21"/>
          <w:vertAlign w:val="superscript"/>
          <w:lang w:eastAsia="ru-RU"/>
        </w:rPr>
        <w:t>8</w:t>
      </w:r>
      <w:r w:rsidRPr="00C9603F">
        <w:rPr>
          <w:rFonts w:ascii="Arial" w:eastAsia="Times New Roman" w:hAnsi="Arial" w:cs="Arial"/>
          <w:i/>
          <w:iCs/>
          <w:color w:val="373737"/>
          <w:sz w:val="21"/>
          <w:szCs w:val="21"/>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32491" w:rsidRDefault="00232491"/>
    <w:sectPr w:rsidR="00232491" w:rsidSect="00DF269D">
      <w:pgSz w:w="11906" w:h="16838"/>
      <w:pgMar w:top="1134" w:right="42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C9603F"/>
    <w:rsid w:val="00232491"/>
    <w:rsid w:val="002A752A"/>
    <w:rsid w:val="004A6903"/>
    <w:rsid w:val="00546B76"/>
    <w:rsid w:val="00636668"/>
    <w:rsid w:val="00A02A8D"/>
    <w:rsid w:val="00A060A2"/>
    <w:rsid w:val="00A6149D"/>
    <w:rsid w:val="00C9603F"/>
    <w:rsid w:val="00D064F8"/>
    <w:rsid w:val="00D75B33"/>
    <w:rsid w:val="00DD30EB"/>
    <w:rsid w:val="00DF269D"/>
    <w:rsid w:val="00E12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2A"/>
  </w:style>
  <w:style w:type="paragraph" w:styleId="4">
    <w:name w:val="heading 4"/>
    <w:basedOn w:val="a"/>
    <w:link w:val="40"/>
    <w:uiPriority w:val="9"/>
    <w:qFormat/>
    <w:rsid w:val="00C960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9603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96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603F"/>
  </w:style>
</w:styles>
</file>

<file path=word/webSettings.xml><?xml version="1.0" encoding="utf-8"?>
<w:webSettings xmlns:r="http://schemas.openxmlformats.org/officeDocument/2006/relationships" xmlns:w="http://schemas.openxmlformats.org/wordprocessingml/2006/main">
  <w:divs>
    <w:div w:id="1841433755">
      <w:bodyDiv w:val="1"/>
      <w:marLeft w:val="0"/>
      <w:marRight w:val="0"/>
      <w:marTop w:val="0"/>
      <w:marBottom w:val="0"/>
      <w:divBdr>
        <w:top w:val="none" w:sz="0" w:space="0" w:color="auto"/>
        <w:left w:val="none" w:sz="0" w:space="0" w:color="auto"/>
        <w:bottom w:val="none" w:sz="0" w:space="0" w:color="auto"/>
        <w:right w:val="none" w:sz="0" w:space="0" w:color="auto"/>
      </w:divBdr>
      <w:divsChild>
        <w:div w:id="134709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7826</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Шестернина</dc:creator>
  <cp:lastModifiedBy>Евген</cp:lastModifiedBy>
  <cp:revision>8</cp:revision>
  <cp:lastPrinted>2015-01-21T01:44:00Z</cp:lastPrinted>
  <dcterms:created xsi:type="dcterms:W3CDTF">2014-11-24T12:32:00Z</dcterms:created>
  <dcterms:modified xsi:type="dcterms:W3CDTF">2018-08-06T20:04:00Z</dcterms:modified>
</cp:coreProperties>
</file>